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Used Parts KPI Dashboard</w:t>
      </w:r>
    </w:p>
    <w:p>
      <w:pPr>
        <w:spacing w:after="40"/>
      </w:pPr>
      <w:r>
        <w:rPr>
          <w:b/>
          <w:i w:val="0"/>
          <w:color w:val="1F3864"/>
          <w:sz w:val="28"/>
        </w:rPr>
        <w:t>Part Type Report — A Plain-English Guide to Every Number</w:t>
      </w:r>
    </w:p>
    <w:p>
      <w:pPr>
        <w:spacing w:after="280"/>
      </w:pPr>
      <w:r>
        <w:rPr>
          <w:b w:val="0"/>
          <w:i/>
          <w:color w:val="666666"/>
          <w:sz w:val="20"/>
        </w:rPr>
        <w:t>Prepared for the Director of Operations · How each figure on the Part Type tab is calculated and why.</w:t>
      </w:r>
    </w:p>
    <w:p>
      <w:pPr>
        <w:pStyle w:val="Heading1"/>
      </w:pPr>
      <w:r>
        <w:t>What this report tells you</w:t>
      </w:r>
    </w:p>
    <w:p>
      <w:pPr>
        <w:spacing w:after="120"/>
      </w:pPr>
      <w:r>
        <w:rPr>
          <w:b w:val="0"/>
          <w:i w:val="0"/>
          <w:sz w:val="22"/>
        </w:rPr>
        <w:t>Each line on the report is a part type — Alternators, Catalytic Converters, Used Wheels, and so on. For every part type it answers one question: after everything we spend to win, buy, ship, and process the sale, how much money did we actually keep? It also shows where money leaks — through returns and cancellations.</w:t>
      </w:r>
    </w:p>
    <w:p>
      <w:pPr>
        <w:pStyle w:val="Heading1"/>
      </w:pPr>
      <w:r>
        <w:t>The foundation: three things can happen to an order</w:t>
      </w:r>
    </w:p>
    <w:p>
      <w:pPr>
        <w:spacing w:after="120"/>
      </w:pPr>
      <w:r>
        <w:rPr>
          <w:b w:val="0"/>
          <w:i w:val="0"/>
          <w:sz w:val="22"/>
        </w:rPr>
        <w:t>Every part follows one of three paths, and each is treated differently — for sound business reasons:</w:t>
      </w:r>
    </w:p>
    <w:p>
      <w:pPr>
        <w:spacing w:after="80"/>
      </w:pPr>
      <w:r>
        <w:rPr>
          <w:b w:val="0"/>
          <w:i w:val="0"/>
          <w:sz w:val="22"/>
        </w:rPr>
        <w:t>1.  Sold and delivered.  The customer keeps the part. We keep the money and subtract our costs. What is left is profit.</w:t>
      </w:r>
    </w:p>
    <w:p>
      <w:pPr>
        <w:spacing w:after="80"/>
      </w:pPr>
      <w:r>
        <w:rPr>
          <w:b w:val="0"/>
          <w:i w:val="0"/>
          <w:sz w:val="22"/>
        </w:rPr>
        <w:t>2.  Returned / refunded.  We give the customer their money back, but we have already spent the costs (marketing, payment fees, the return label). Those costs stay — so a return is a loss. The supplier usually credits us back for the part itself, which softens the loss.</w:t>
      </w:r>
    </w:p>
    <w:p>
      <w:pPr>
        <w:spacing w:after="200"/>
      </w:pPr>
      <w:r>
        <w:rPr>
          <w:b w:val="0"/>
          <w:i w:val="0"/>
          <w:sz w:val="22"/>
        </w:rPr>
        <w:t>3.  Cancelled.  The customer never pays us. But the order still cost us the marketing click and the payment fees the moment it came in. So a cancellation is a smaller loss — the fees only, never the part cost.</w:t>
      </w:r>
    </w:p>
    <w:p>
      <w:pPr>
        <w:pStyle w:val="Heading1"/>
      </w:pPr>
      <w:r>
        <w:t>The two headline numbers</w:t>
      </w:r>
    </w:p>
    <w:p>
      <w:pPr>
        <w:spacing w:after="60"/>
      </w:pPr>
      <w:r>
        <w:rPr>
          <w:b/>
          <w:i w:val="0"/>
          <w:sz w:val="22"/>
        </w:rPr>
        <w:t>Net Margin %  —  profit as a share of sales. This is the bottom line: what we keep.</w:t>
      </w:r>
    </w:p>
    <w:p>
      <w:pPr>
        <w:spacing w:after="120"/>
      </w:pPr>
      <w:r>
        <w:rPr>
          <w:b/>
          <w:i w:val="0"/>
          <w:sz w:val="22"/>
        </w:rPr>
        <w:t>COGS Ratio %  —  total costs as a share of sales. Everything we spent to deliver that sale.</w:t>
      </w:r>
    </w:p>
    <w:p>
      <w:r>
        <w:rPr>
          <w:b/>
          <w:color w:val="C00000"/>
          <w:sz w:val="22"/>
        </w:rPr>
        <w:t xml:space="preserve">These two always add up to 100%.  </w:t>
      </w:r>
      <w:r>
        <w:rPr>
          <w:sz w:val="22"/>
        </w:rPr>
        <w:t>If a part type keeps 25% profit, its costs are 75%. If a part type loses money, its costs go above 100% (shown in red) — an instant flag that the category is unprofitable.</w:t>
      </w:r>
    </w:p>
    <w:p/>
    <w:p>
      <w:pPr>
        <w:pStyle w:val="Heading1"/>
      </w:pPr>
      <w:r>
        <w:t>Every column, in plain English</w:t>
      </w:r>
    </w:p>
    <w:p>
      <w:pPr>
        <w:spacing w:after="60"/>
      </w:pPr>
      <w:r>
        <w:rPr>
          <w:b/>
          <w:i w:val="0"/>
          <w:color w:val="1F3864"/>
          <w:sz w:val="22"/>
        </w:rPr>
        <w:t>Money the customer paid us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2880"/>
        <w:gridCol w:w="6624"/>
      </w:tblGrid>
      <w:tr>
        <w:tc>
          <w:tcPr>
            <w:tcW w:type="dxa" w:w="4320"/>
          </w:tcPr>
          <w:p>
            <w:r/>
            <w:r>
              <w:rPr>
                <w:b/>
                <w:color w:val="FFFFFF"/>
                <w:sz w:val="21"/>
              </w:rPr>
              <w:t>Column</w:t>
            </w:r>
          </w:p>
        </w:tc>
        <w:tc>
          <w:tcPr>
            <w:tcW w:type="dxa" w:w="4320"/>
          </w:tcPr>
          <w:p>
            <w:r/>
            <w:r>
              <w:rPr>
                <w:b/>
                <w:color w:val="FFFFFF"/>
                <w:sz w:val="21"/>
              </w:rPr>
              <w:t>What it means / how we work it out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Part Sale Price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The price the customer paid for the part itself. (For catalytic converters we remove 85% of the core charge, because that is a refundable deposit, not real revenue.)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Shipping Charged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The shipping the customer paid, split evenly across the parts in their order.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Total Sale Price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Part Sale Price + Shipping Charged — the full amount the customer paid.</w:t>
            </w:r>
          </w:p>
        </w:tc>
      </w:tr>
    </w:tbl>
    <w:p/>
    <w:p>
      <w:pPr>
        <w:spacing w:after="60"/>
      </w:pPr>
      <w:r>
        <w:rPr>
          <w:b/>
          <w:i w:val="0"/>
          <w:color w:val="1F3864"/>
          <w:sz w:val="22"/>
        </w:rPr>
        <w:t>Our costs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2880"/>
        <w:gridCol w:w="6624"/>
      </w:tblGrid>
      <w:tr>
        <w:tc>
          <w:tcPr>
            <w:tcW w:type="dxa" w:w="4320"/>
          </w:tcPr>
          <w:p>
            <w:r/>
            <w:r>
              <w:rPr>
                <w:b/>
                <w:color w:val="FFFFFF"/>
                <w:sz w:val="21"/>
              </w:rPr>
              <w:t>Column</w:t>
            </w:r>
          </w:p>
        </w:tc>
        <w:tc>
          <w:tcPr>
            <w:tcW w:type="dxa" w:w="4320"/>
          </w:tcPr>
          <w:p>
            <w:r/>
            <w:r>
              <w:rPr>
                <w:b/>
                <w:color w:val="FFFFFF"/>
                <w:sz w:val="21"/>
              </w:rPr>
              <w:t>What it means / how we work it out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Buy Price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What we paid the recycler/supplier for the part.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Shipping Cost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What we paid to get the part shipped (supplier to customer).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Ad Spend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The marketing cost to win the sale. We pay Google for each click; each sale is charged its fair share using that month’s ratio of total ad spend to total sales.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CC Fee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Credit-card processing fee — 2.5% of the sale.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Bolt Payment Fee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Payment-platform fee — 1% of the sale.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Label Cost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Cost of the return shipping label when a customer sends a part back.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Credits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Money the supplier or carrier gave back to us — e.g. refunding our cost when a part is returned.</w:t>
            </w:r>
          </w:p>
        </w:tc>
      </w:tr>
    </w:tbl>
    <w:p/>
    <w:p>
      <w:pPr>
        <w:spacing w:after="60"/>
      </w:pPr>
      <w:r>
        <w:rPr>
          <w:b/>
          <w:i w:val="0"/>
          <w:color w:val="1F3864"/>
          <w:sz w:val="22"/>
        </w:rPr>
        <w:t>Returns, cancellations &amp; the bottom line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2880"/>
        <w:gridCol w:w="6624"/>
      </w:tblGrid>
      <w:tr>
        <w:tc>
          <w:tcPr>
            <w:tcW w:type="dxa" w:w="4320"/>
          </w:tcPr>
          <w:p>
            <w:r/>
            <w:r>
              <w:rPr>
                <w:b/>
                <w:color w:val="FFFFFF"/>
                <w:sz w:val="21"/>
              </w:rPr>
              <w:t>Column</w:t>
            </w:r>
          </w:p>
        </w:tc>
        <w:tc>
          <w:tcPr>
            <w:tcW w:type="dxa" w:w="4320"/>
          </w:tcPr>
          <w:p>
            <w:r/>
            <w:r>
              <w:rPr>
                <w:b/>
                <w:color w:val="FFFFFF"/>
                <w:sz w:val="21"/>
              </w:rPr>
              <w:t>What it means / how we work it out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Cancel Revenue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What a cancelled order would have been worth. Shown for reference only — not counted as money we made.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Refund Deduction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On a return, the full sale amount we gave back to the customer.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Core Charge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The refundable core deposit on a part (mainly catalytic converters).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Net Margin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The profit — or loss — after every cost above. The bottom line for that part type.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Net Margin %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Profit as a percentage of sales.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COGS Ratio %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Total costs as a percentage of sales (the mirror of Net Margin %).</w:t>
            </w:r>
          </w:p>
        </w:tc>
      </w:tr>
    </w:tbl>
    <w:p/>
    <w:p>
      <w:pPr>
        <w:spacing w:after="60"/>
      </w:pPr>
      <w:r>
        <w:rPr>
          <w:b/>
          <w:i w:val="0"/>
          <w:color w:val="1F3864"/>
          <w:sz w:val="22"/>
        </w:rPr>
        <w:t>Counts &amp; rates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2880"/>
        <w:gridCol w:w="6624"/>
      </w:tblGrid>
      <w:tr>
        <w:tc>
          <w:tcPr>
            <w:tcW w:type="dxa" w:w="4320"/>
          </w:tcPr>
          <w:p>
            <w:r/>
            <w:r>
              <w:rPr>
                <w:b/>
                <w:color w:val="FFFFFF"/>
                <w:sz w:val="21"/>
              </w:rPr>
              <w:t>Column</w:t>
            </w:r>
          </w:p>
        </w:tc>
        <w:tc>
          <w:tcPr>
            <w:tcW w:type="dxa" w:w="4320"/>
          </w:tcPr>
          <w:p>
            <w:r/>
            <w:r>
              <w:rPr>
                <w:b/>
                <w:color w:val="FFFFFF"/>
                <w:sz w:val="21"/>
              </w:rPr>
              <w:t>What it means / how we work it out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Successful / Returned / Cancelled / Pending Return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How many parts ended in each outcome.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Returns % (units)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Of the parts that shipped, the share that came back.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Returns % ($ value)</w:t>
            </w:r>
          </w:p>
        </w:tc>
        <w:tc>
          <w:tcPr>
            <w:tcW w:type="dxa" w:w="6624"/>
          </w:tcPr>
          <w:p>
            <w:r/>
            <w:r>
              <w:rPr>
                <w:sz w:val="20"/>
              </w:rPr>
              <w:t>The dollar value returned as a share of sales.</w:t>
            </w:r>
          </w:p>
        </w:tc>
      </w:tr>
    </w:tbl>
    <w:p/>
    <w:p>
      <w:pPr>
        <w:pStyle w:val="Heading1"/>
      </w:pPr>
      <w:r>
        <w:t>Three real examples, walked through in dollars</w:t>
      </w:r>
    </w:p>
    <w:p>
      <w:pPr>
        <w:spacing w:after="60"/>
      </w:pPr>
      <w:r>
        <w:rPr>
          <w:b/>
          <w:i w:val="0"/>
          <w:color w:val="2E7D32"/>
          <w:sz w:val="22"/>
        </w:rPr>
        <w:t>Example 1 — A clean sale (Fuel Pump, shipped)</w:t>
      </w:r>
    </w:p>
    <w:p>
      <w:pPr>
        <w:spacing w:after="40"/>
        <w:ind w:left="432"/>
      </w:pPr>
      <w:r>
        <w:rPr>
          <w:sz w:val="21"/>
        </w:rPr>
        <w:t>Customer paid (Total Sale Price) ............ $115.99</w:t>
      </w:r>
    </w:p>
    <w:p>
      <w:pPr>
        <w:spacing w:after="40"/>
        <w:ind w:left="432"/>
      </w:pPr>
      <w:r>
        <w:rPr>
          <w:sz w:val="21"/>
        </w:rPr>
        <w:t>Our costs:  Buy $45.00 + Shipping $17.54 + Ad $17.05 + CC $3.10 + Bolt $1.24  =  $83.93</w:t>
      </w:r>
    </w:p>
    <w:p>
      <w:pPr>
        <w:spacing w:after="40"/>
        <w:ind w:left="432"/>
      </w:pPr>
      <w:r>
        <w:rPr>
          <w:sz w:val="21"/>
        </w:rPr>
        <w:t>Net Margin (profit) ......................... $32.05</w:t>
      </w:r>
    </w:p>
    <w:p>
      <w:pPr>
        <w:spacing w:after="40"/>
        <w:ind w:left="432"/>
      </w:pPr>
      <w:r>
        <w:rPr>
          <w:sz w:val="21"/>
        </w:rPr>
        <w:t>Net Margin % = 27.6%      COGS Ratio % = 72.4%      (27.6 + 72.4 = 100%)</w:t>
      </w:r>
    </w:p>
    <w:p>
      <w:pPr>
        <w:spacing w:after="200"/>
      </w:pPr>
      <w:r>
        <w:rPr>
          <w:b w:val="0"/>
          <w:i/>
          <w:color w:val="666666"/>
          <w:sz w:val="22"/>
        </w:rPr>
        <w:t>We kept about 28 cents of every dollar on this sale.</w:t>
      </w:r>
    </w:p>
    <w:p>
      <w:pPr>
        <w:spacing w:after="60"/>
      </w:pPr>
      <w:r>
        <w:rPr>
          <w:b/>
          <w:i w:val="0"/>
          <w:color w:val="C00000"/>
          <w:sz w:val="22"/>
        </w:rPr>
        <w:t>Example 2 — A cancellation (Air Bag)</w:t>
      </w:r>
    </w:p>
    <w:p>
      <w:pPr>
        <w:spacing w:after="40"/>
        <w:ind w:left="432"/>
      </w:pPr>
      <w:r>
        <w:rPr>
          <w:sz w:val="21"/>
        </w:rPr>
        <w:t>Customer paid ............................... $0  (order was cancelled)</w:t>
      </w:r>
    </w:p>
    <w:p>
      <w:pPr>
        <w:spacing w:after="40"/>
        <w:ind w:left="432"/>
      </w:pPr>
      <w:r>
        <w:rPr>
          <w:sz w:val="21"/>
        </w:rPr>
        <w:t>But we had already spent:  Ad $29.40 + CC $5.21 + Bolt $2.08  =  $36.69</w:t>
      </w:r>
    </w:p>
    <w:p>
      <w:pPr>
        <w:spacing w:after="40"/>
        <w:ind w:left="432"/>
      </w:pPr>
      <w:r>
        <w:rPr>
          <w:sz w:val="21"/>
        </w:rPr>
        <w:t>Net Margin (loss) .......................... −$36.68</w:t>
      </w:r>
    </w:p>
    <w:p>
      <w:pPr>
        <w:spacing w:after="40"/>
        <w:ind w:left="432"/>
      </w:pPr>
      <w:r>
        <w:rPr>
          <w:sz w:val="21"/>
        </w:rPr>
        <w:t>No part cost is charged — we never truly bought it. Only the fees we had already paid.</w:t>
      </w:r>
    </w:p>
    <w:p>
      <w:pPr>
        <w:spacing w:after="200"/>
      </w:pPr>
      <w:r>
        <w:rPr>
          <w:b w:val="0"/>
          <w:i/>
          <w:color w:val="666666"/>
          <w:sz w:val="22"/>
        </w:rPr>
        <w:t>A cancellation is never free: the marketing and payment fees are already gone.</w:t>
      </w:r>
    </w:p>
    <w:p>
      <w:pPr>
        <w:spacing w:after="60"/>
      </w:pPr>
      <w:r>
        <w:rPr>
          <w:b/>
          <w:i w:val="0"/>
          <w:color w:val="C00000"/>
          <w:sz w:val="22"/>
        </w:rPr>
        <w:t>Example 3 — A return (Radio, refunded)</w:t>
      </w:r>
    </w:p>
    <w:p>
      <w:pPr>
        <w:spacing w:after="40"/>
        <w:ind w:left="432"/>
      </w:pPr>
      <w:r>
        <w:rPr>
          <w:sz w:val="21"/>
        </w:rPr>
        <w:t>Customer paid, then was fully refunded ...... $95.99 given back</w:t>
      </w:r>
    </w:p>
    <w:p>
      <w:pPr>
        <w:spacing w:after="40"/>
        <w:ind w:left="432"/>
      </w:pPr>
      <w:r>
        <w:rPr>
          <w:sz w:val="21"/>
        </w:rPr>
        <w:t>Costs we still ate:  Shipping $38.81 + Ad $14.11 + Return Label $10.90 + CC $2.54 + Bolt $1.02</w:t>
      </w:r>
    </w:p>
    <w:p>
      <w:pPr>
        <w:spacing w:after="40"/>
        <w:ind w:left="432"/>
      </w:pPr>
      <w:r>
        <w:rPr>
          <w:sz w:val="21"/>
        </w:rPr>
        <w:t>Supplier credited our part cost back ........ +$35.00</w:t>
      </w:r>
    </w:p>
    <w:p>
      <w:pPr>
        <w:spacing w:after="40"/>
        <w:ind w:left="432"/>
      </w:pPr>
      <w:r>
        <w:rPr>
          <w:sz w:val="21"/>
        </w:rPr>
        <w:t>Net Margin (loss) .......................... −$67.38</w:t>
      </w:r>
    </w:p>
    <w:p>
      <w:pPr>
        <w:spacing w:after="200"/>
      </w:pPr>
      <w:r>
        <w:rPr>
          <w:b w:val="0"/>
          <w:i/>
          <w:color w:val="666666"/>
          <w:sz w:val="22"/>
        </w:rPr>
        <w:t>On a return the sale is reversed, but the marketing, shipping, and fees we already spent remain a loss.</w:t>
      </w:r>
    </w:p>
    <w:p>
      <w:pPr>
        <w:pStyle w:val="Heading1"/>
      </w:pPr>
      <w:r>
        <w:t>The reasoning behind a few specific rules</w:t>
      </w:r>
    </w:p>
    <w:p>
      <w:pPr>
        <w:spacing w:after="100"/>
      </w:pPr>
      <w:r>
        <w:rPr>
          <w:b w:val="0"/>
          <w:i w:val="0"/>
          <w:sz w:val="22"/>
        </w:rPr>
        <w:t>Marketing (Ad Spend) is charged to every order — even cancellations — because the moment an order enters our system, we have already paid for the click that brought it in.</w:t>
      </w:r>
    </w:p>
    <w:p>
      <w:pPr>
        <w:spacing w:after="100"/>
      </w:pPr>
      <w:r>
        <w:rPr>
          <w:b w:val="0"/>
          <w:i w:val="0"/>
          <w:sz w:val="22"/>
        </w:rPr>
        <w:t>Catalytic converter core charges are mostly removed from both the sale and the cost, because the core deposit is refundable money passing through — not real revenue or real cost.</w:t>
      </w:r>
    </w:p>
    <w:p>
      <w:pPr>
        <w:spacing w:after="100"/>
      </w:pPr>
      <w:r>
        <w:rPr>
          <w:b w:val="0"/>
          <w:i w:val="0"/>
          <w:sz w:val="22"/>
        </w:rPr>
        <w:t>On returns we assume the supplier credits back the part cost until a real credit is recorded. This is why a fresh return may show a smaller loss that grows once the actual (often partial) supplier credit is entered.</w:t>
      </w:r>
    </w:p>
    <w:p>
      <w:pPr>
        <w:spacing w:after="200"/>
      </w:pPr>
      <w:r>
        <w:rPr>
          <w:b w:val="0"/>
          <w:i w:val="0"/>
          <w:sz w:val="22"/>
        </w:rPr>
        <w:t>Returns and cancellations push a part type’s costs above 100% (and its margin below zero) — exactly as they should, because a refunded or cancelled order brought in no revenue but still cost us money.</w:t>
      </w:r>
    </w:p>
    <w:p>
      <w:pPr>
        <w:pStyle w:val="Heading1"/>
      </w:pPr>
      <w:r>
        <w:t>The one rule to remember</w:t>
      </w:r>
    </w:p>
    <w:p>
      <w:r>
        <w:rPr>
          <w:b/>
          <w:color w:val="1F3864"/>
          <w:sz w:val="22"/>
        </w:rPr>
        <w:t xml:space="preserve">Costs (COGS Ratio %) and profit (Net Margin %) always add up to 100%. </w:t>
      </w:r>
      <w:r>
        <w:rPr>
          <w:sz w:val="22"/>
        </w:rPr>
        <w:t>A healthy part type sits comfortably under 100% on costs. Anything at or above 100% is losing money and is flagged in red — the fastest way to spot which part types and suppliers need attention.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